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июле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 xml:space="preserve">земельного </w:t>
      </w:r>
      <w:r>
        <w:rPr>
          <w:sz w:val="28"/>
          <w:szCs w:val="28"/>
          <w:lang w:val="ru-RU"/>
        </w:rPr>
        <w:t xml:space="preserve">законодательства </w:t>
      </w:r>
      <w:r>
        <w:rPr>
          <w:sz w:val="28"/>
          <w:szCs w:val="28"/>
          <w:lang w:val="ru-RU"/>
        </w:rPr>
        <w:t>касающиеся не опубликования информации о предоставлении гражданам в собственность за плату земельных участков для ведения садоводства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земельного законодательства. Администрацией Серебряно-Прудского муниципального района московской области было рассмотрено представление от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.2013 №58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 xml:space="preserve">-2013 об устранении нарушений </w:t>
      </w:r>
      <w:r>
        <w:rPr>
          <w:sz w:val="28"/>
          <w:szCs w:val="28"/>
          <w:lang w:val="ru-RU"/>
        </w:rPr>
        <w:t xml:space="preserve">земельного </w:t>
      </w:r>
      <w:r>
        <w:rPr>
          <w:sz w:val="28"/>
          <w:szCs w:val="28"/>
          <w:lang w:val="ru-RU"/>
        </w:rPr>
        <w:t>законодательства,с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